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宋体" w:hAnsi="宋体" w:cs="宋体"/>
          <w:b/>
          <w:bCs/>
          <w:sz w:val="32"/>
          <w:szCs w:val="40"/>
        </w:rPr>
      </w:pPr>
      <w:bookmarkStart w:id="0" w:name="_GoBack"/>
      <w:bookmarkEnd w:id="0"/>
      <w:r>
        <w:rPr>
          <w:rFonts w:hint="eastAsia" w:ascii="宋体" w:hAnsi="宋体" w:cs="宋体"/>
          <w:b/>
          <w:bCs/>
          <w:sz w:val="32"/>
          <w:szCs w:val="40"/>
        </w:rPr>
        <w:t>关于编制《广东省土壤修复工程造价指南》</w:t>
      </w:r>
    </w:p>
    <w:p>
      <w:pPr>
        <w:spacing w:line="240" w:lineRule="atLeast"/>
        <w:ind w:firstLine="2811" w:firstLineChars="1000"/>
        <w:rPr>
          <w:rFonts w:ascii="宋体" w:hAnsi="宋体" w:cs="宋体"/>
          <w:b/>
          <w:sz w:val="28"/>
          <w:szCs w:val="36"/>
        </w:rPr>
      </w:pPr>
      <w:r>
        <w:rPr>
          <w:rFonts w:hint="eastAsia" w:ascii="宋体" w:hAnsi="宋体" w:cs="宋体"/>
          <w:b/>
          <w:sz w:val="28"/>
          <w:szCs w:val="36"/>
        </w:rPr>
        <w:t>案例征集及邀请参编单位的通知</w:t>
      </w:r>
    </w:p>
    <w:p>
      <w:pPr>
        <w:spacing w:line="240" w:lineRule="atLeast"/>
        <w:rPr>
          <w:rFonts w:hint="eastAsia" w:ascii="宋体" w:hAnsi="宋体" w:cs="宋体"/>
          <w:sz w:val="28"/>
          <w:szCs w:val="36"/>
        </w:rPr>
      </w:pPr>
    </w:p>
    <w:p>
      <w:pPr>
        <w:spacing w:line="240" w:lineRule="atLeast"/>
        <w:rPr>
          <w:rFonts w:ascii="宋体" w:hAnsi="宋体" w:cs="宋体"/>
          <w:sz w:val="28"/>
          <w:szCs w:val="36"/>
        </w:rPr>
      </w:pPr>
      <w:r>
        <w:rPr>
          <w:rFonts w:hint="eastAsia" w:ascii="宋体" w:hAnsi="宋体" w:cs="宋体"/>
          <w:b/>
          <w:bCs/>
          <w:sz w:val="28"/>
          <w:szCs w:val="36"/>
        </w:rPr>
        <w:t>各相关单位</w:t>
      </w:r>
      <w:r>
        <w:rPr>
          <w:rFonts w:hint="eastAsia" w:ascii="宋体" w:hAnsi="宋体" w:cs="宋体"/>
          <w:sz w:val="28"/>
          <w:szCs w:val="36"/>
        </w:rPr>
        <w:t>：</w:t>
      </w:r>
    </w:p>
    <w:p>
      <w:pPr>
        <w:spacing w:line="240" w:lineRule="atLeast"/>
        <w:ind w:firstLine="560" w:firstLineChars="200"/>
        <w:rPr>
          <w:rFonts w:ascii="宋体" w:hAnsi="宋体" w:cs="宋体"/>
          <w:sz w:val="28"/>
          <w:szCs w:val="36"/>
        </w:rPr>
      </w:pPr>
      <w:r>
        <w:rPr>
          <w:rFonts w:hint="eastAsia" w:ascii="宋体" w:hAnsi="宋体" w:cs="宋体"/>
          <w:sz w:val="28"/>
          <w:szCs w:val="36"/>
        </w:rPr>
        <w:t>当下时值《土壤污染防治法》实施一年之际，土壤修复工程稳步上升，但因缺乏统一的造价体系，土壤修复市场参差不齐，工程结算缺之依据，甚至出现结算纠纷。为促进广东省土壤修复工程市场稳步发展，经多方而协调，决定着手编制《广东省土壤修复工程造价指南》及造价软件开发。</w:t>
      </w:r>
    </w:p>
    <w:p>
      <w:pPr>
        <w:spacing w:line="240" w:lineRule="atLeast"/>
        <w:ind w:firstLine="560"/>
        <w:rPr>
          <w:rFonts w:ascii="宋体" w:hAnsi="宋体" w:cs="宋体"/>
          <w:sz w:val="28"/>
          <w:szCs w:val="36"/>
        </w:rPr>
      </w:pPr>
      <w:r>
        <w:rPr>
          <w:rFonts w:hint="eastAsia" w:ascii="宋体" w:hAnsi="宋体" w:cs="宋体"/>
          <w:sz w:val="28"/>
          <w:szCs w:val="36"/>
        </w:rPr>
        <w:t>广州市节能环保技术应用交流促进会</w:t>
      </w:r>
      <w:r>
        <w:rPr>
          <w:rFonts w:hint="eastAsia" w:ascii="宋体" w:hAnsi="宋体" w:cs="宋体"/>
          <w:sz w:val="28"/>
          <w:szCs w:val="36"/>
          <w:lang w:eastAsia="zh-CN"/>
        </w:rPr>
        <w:t>联合中关村众信土壤修复产业技术创新联盟（土盟）</w:t>
      </w:r>
      <w:r>
        <w:rPr>
          <w:rFonts w:hint="eastAsia" w:ascii="宋体" w:hAnsi="宋体" w:cs="宋体"/>
          <w:sz w:val="28"/>
          <w:szCs w:val="36"/>
        </w:rPr>
        <w:t>牵头，协调组织广东省、广州市工程造价行业协会共同编制《广东省土壤修复工程造价指南》一书，广联达科技股份有限公司负责开发配套造价软件。特向土壤修复行业从业单位征集案例并邀请8家土壤修复从业单位作为参编单位共同完成《广东省土壤修复工程造价指南》编写工作。具体内容如下：</w:t>
      </w:r>
    </w:p>
    <w:p>
      <w:pPr>
        <w:spacing w:line="240" w:lineRule="atLeast"/>
        <w:jc w:val="left"/>
        <w:rPr>
          <w:rFonts w:ascii="宋体" w:hAnsi="宋体" w:cs="宋体"/>
          <w:b/>
          <w:bCs/>
          <w:sz w:val="28"/>
          <w:szCs w:val="36"/>
        </w:rPr>
      </w:pPr>
      <w:r>
        <w:rPr>
          <w:rFonts w:hint="eastAsia" w:ascii="宋体" w:hAnsi="宋体" w:cs="宋体"/>
          <w:b/>
          <w:bCs/>
          <w:sz w:val="28"/>
          <w:szCs w:val="36"/>
        </w:rPr>
        <w:t>一、征集案例内容：主要三个类型：</w:t>
      </w:r>
    </w:p>
    <w:p>
      <w:pPr>
        <w:spacing w:line="240" w:lineRule="atLeast"/>
        <w:ind w:firstLineChars="200"/>
        <w:jc w:val="left"/>
        <w:rPr>
          <w:rFonts w:ascii="宋体" w:hAnsi="宋体" w:cs="宋体"/>
          <w:sz w:val="28"/>
          <w:szCs w:val="36"/>
        </w:rPr>
      </w:pPr>
      <w:r>
        <w:rPr>
          <w:rFonts w:hint="eastAsia" w:ascii="宋体" w:hAnsi="宋体" w:cs="宋体"/>
          <w:sz w:val="28"/>
          <w:szCs w:val="36"/>
        </w:rPr>
        <w:t>①重金属污染项目，修复技术为“原地异位固化稳定化+阻隔填埋”。</w:t>
      </w:r>
    </w:p>
    <w:p>
      <w:pPr>
        <w:spacing w:line="240" w:lineRule="atLeast"/>
        <w:ind w:firstLineChars="200"/>
        <w:jc w:val="left"/>
        <w:rPr>
          <w:rFonts w:ascii="宋体" w:hAnsi="宋体" w:cs="宋体"/>
          <w:sz w:val="28"/>
          <w:szCs w:val="36"/>
        </w:rPr>
      </w:pPr>
      <w:r>
        <w:rPr>
          <w:rFonts w:hint="eastAsia" w:ascii="宋体" w:hAnsi="宋体" w:cs="宋体"/>
          <w:sz w:val="28"/>
          <w:szCs w:val="36"/>
        </w:rPr>
        <w:t>②vocs污染项目，修复技术为“原地异位修复+现场热脱附”。</w:t>
      </w:r>
    </w:p>
    <w:p>
      <w:pPr>
        <w:spacing w:line="240" w:lineRule="atLeast"/>
        <w:ind w:firstLineChars="200"/>
        <w:jc w:val="left"/>
        <w:rPr>
          <w:rFonts w:ascii="宋体" w:hAnsi="宋体" w:cs="宋体"/>
          <w:sz w:val="28"/>
          <w:szCs w:val="36"/>
        </w:rPr>
      </w:pPr>
      <w:r>
        <w:rPr>
          <w:rFonts w:hint="eastAsia" w:ascii="宋体" w:hAnsi="宋体" w:cs="宋体"/>
          <w:sz w:val="28"/>
          <w:szCs w:val="36"/>
        </w:rPr>
        <w:t>③重金属污染或vocs污染项目，修复技术为水泥窖协同处置。</w:t>
      </w:r>
    </w:p>
    <w:p>
      <w:pPr>
        <w:spacing w:line="240" w:lineRule="atLeast"/>
        <w:ind w:firstLineChars="200"/>
        <w:jc w:val="left"/>
        <w:rPr>
          <w:rFonts w:ascii="宋体" w:hAnsi="宋体" w:cs="宋体"/>
          <w:sz w:val="28"/>
          <w:szCs w:val="36"/>
        </w:rPr>
      </w:pPr>
      <w:r>
        <w:rPr>
          <w:rFonts w:hint="eastAsia" w:ascii="宋体" w:hAnsi="宋体" w:cs="宋体"/>
          <w:sz w:val="28"/>
          <w:szCs w:val="36"/>
        </w:rPr>
        <w:t>本次征集案例广东省内60个，广东省外40个，各单位提供案例请参考附体表，并附上简单的工艺流程说明及工程最终实际结算价、工程实际施工时间。</w:t>
      </w:r>
    </w:p>
    <w:p>
      <w:pPr>
        <w:spacing w:line="240" w:lineRule="atLeast"/>
        <w:jc w:val="left"/>
        <w:rPr>
          <w:rFonts w:ascii="宋体" w:hAnsi="宋体" w:cs="宋体"/>
          <w:sz w:val="28"/>
          <w:szCs w:val="36"/>
        </w:rPr>
      </w:pPr>
      <w:r>
        <w:rPr>
          <w:rFonts w:hint="eastAsia" w:ascii="宋体" w:hAnsi="宋体" w:cs="宋体"/>
          <w:sz w:val="28"/>
          <w:szCs w:val="36"/>
        </w:rPr>
        <w:t>我方承诺对所有案例资料严格保密，同时要求各单位案例的真实性。</w:t>
      </w:r>
    </w:p>
    <w:p>
      <w:pPr>
        <w:spacing w:line="240" w:lineRule="atLeast"/>
        <w:jc w:val="left"/>
        <w:rPr>
          <w:rFonts w:hint="eastAsia" w:ascii="宋体" w:hAnsi="宋体" w:cs="宋体"/>
          <w:sz w:val="28"/>
          <w:szCs w:val="36"/>
        </w:rPr>
      </w:pPr>
    </w:p>
    <w:p>
      <w:pPr>
        <w:spacing w:line="240" w:lineRule="atLeast"/>
        <w:jc w:val="left"/>
        <w:rPr>
          <w:rFonts w:ascii="宋体" w:hAnsi="宋体" w:cs="宋体"/>
          <w:b/>
          <w:bCs/>
          <w:sz w:val="28"/>
          <w:szCs w:val="36"/>
        </w:rPr>
      </w:pPr>
      <w:r>
        <w:rPr>
          <w:rFonts w:hint="eastAsia" w:ascii="宋体" w:hAnsi="宋体" w:cs="宋体"/>
          <w:b/>
          <w:bCs/>
          <w:sz w:val="28"/>
          <w:szCs w:val="36"/>
        </w:rPr>
        <w:t>二、参编单位要求</w:t>
      </w:r>
    </w:p>
    <w:p>
      <w:pPr>
        <w:spacing w:line="240" w:lineRule="atLeast"/>
        <w:jc w:val="left"/>
        <w:rPr>
          <w:rFonts w:ascii="宋体" w:hAnsi="宋体" w:cs="宋体"/>
          <w:sz w:val="28"/>
          <w:szCs w:val="36"/>
        </w:rPr>
      </w:pPr>
      <w:r>
        <w:rPr>
          <w:rFonts w:hint="eastAsia" w:ascii="宋体" w:hAnsi="宋体" w:cs="宋体"/>
          <w:sz w:val="28"/>
          <w:szCs w:val="36"/>
        </w:rPr>
        <w:t xml:space="preserve">  </w:t>
      </w:r>
      <w:r>
        <w:rPr>
          <w:rFonts w:hint="default" w:ascii="宋体" w:hAnsi="宋体" w:cs="宋体"/>
          <w:sz w:val="28"/>
          <w:szCs w:val="36"/>
          <w:lang w:val="en-US"/>
        </w:rPr>
        <w:t xml:space="preserve"> </w:t>
      </w:r>
      <w:r>
        <w:rPr>
          <w:rFonts w:hint="eastAsia" w:ascii="宋体" w:hAnsi="宋体" w:cs="宋体"/>
          <w:sz w:val="28"/>
          <w:szCs w:val="36"/>
        </w:rPr>
        <w:t xml:space="preserve"> 1.从事土壤修复单位且至少有完成三个土壤修复工程，提供一个案例。2020年</w:t>
      </w:r>
      <w:r>
        <w:rPr>
          <w:rFonts w:hint="default" w:ascii="宋体" w:hAnsi="宋体" w:cs="宋体"/>
          <w:sz w:val="28"/>
          <w:szCs w:val="36"/>
          <w:lang w:val="en-US"/>
        </w:rPr>
        <w:t>2</w:t>
      </w:r>
      <w:r>
        <w:rPr>
          <w:rFonts w:hint="eastAsia" w:ascii="宋体" w:hAnsi="宋体" w:cs="宋体"/>
          <w:sz w:val="28"/>
          <w:szCs w:val="36"/>
        </w:rPr>
        <w:t>月</w:t>
      </w:r>
      <w:r>
        <w:rPr>
          <w:rFonts w:hint="default" w:ascii="宋体" w:hAnsi="宋体" w:cs="宋体"/>
          <w:sz w:val="28"/>
          <w:szCs w:val="36"/>
          <w:lang w:val="en-US"/>
        </w:rPr>
        <w:t>20</w:t>
      </w:r>
      <w:r>
        <w:rPr>
          <w:rFonts w:hint="eastAsia" w:ascii="宋体" w:hAnsi="宋体" w:cs="宋体"/>
          <w:sz w:val="28"/>
          <w:szCs w:val="36"/>
        </w:rPr>
        <w:t>日前。</w:t>
      </w:r>
    </w:p>
    <w:p>
      <w:pPr>
        <w:spacing w:line="240" w:lineRule="atLeast"/>
        <w:jc w:val="left"/>
        <w:rPr>
          <w:rFonts w:ascii="宋体" w:hAnsi="宋体" w:cs="宋体"/>
          <w:sz w:val="28"/>
          <w:szCs w:val="36"/>
        </w:rPr>
      </w:pPr>
      <w:r>
        <w:rPr>
          <w:rFonts w:hint="eastAsia" w:ascii="宋体" w:hAnsi="宋体" w:cs="宋体"/>
          <w:sz w:val="28"/>
          <w:szCs w:val="36"/>
        </w:rPr>
        <w:t xml:space="preserve">  </w:t>
      </w:r>
      <w:r>
        <w:rPr>
          <w:rFonts w:hint="default" w:ascii="宋体" w:hAnsi="宋体" w:cs="宋体"/>
          <w:sz w:val="28"/>
          <w:szCs w:val="36"/>
          <w:lang w:val="en-US"/>
        </w:rPr>
        <w:t xml:space="preserve"> </w:t>
      </w:r>
      <w:r>
        <w:rPr>
          <w:rFonts w:hint="eastAsia" w:ascii="宋体" w:hAnsi="宋体" w:cs="宋体"/>
          <w:sz w:val="28"/>
          <w:szCs w:val="36"/>
        </w:rPr>
        <w:t xml:space="preserve"> 2.自愿报名参加且赞助本次编制工作</w:t>
      </w:r>
      <w:r>
        <w:rPr>
          <w:rFonts w:hint="default" w:ascii="宋体" w:hAnsi="宋体" w:cs="宋体"/>
          <w:sz w:val="28"/>
          <w:szCs w:val="36"/>
          <w:lang w:val="en-US"/>
        </w:rPr>
        <w:t>80000</w:t>
      </w:r>
      <w:r>
        <w:rPr>
          <w:rFonts w:hint="eastAsia" w:ascii="宋体" w:hAnsi="宋体" w:cs="宋体"/>
          <w:sz w:val="28"/>
          <w:szCs w:val="36"/>
          <w:lang w:val="en-US" w:eastAsia="zh-CN"/>
        </w:rPr>
        <w:t>元，</w:t>
      </w:r>
      <w:r>
        <w:rPr>
          <w:rFonts w:hint="eastAsia" w:ascii="宋体" w:hAnsi="宋体" w:cs="宋体"/>
          <w:sz w:val="28"/>
          <w:szCs w:val="36"/>
        </w:rPr>
        <w:t>2020年2月28日前。</w:t>
      </w:r>
    </w:p>
    <w:p>
      <w:pPr>
        <w:spacing w:line="240" w:lineRule="atLeast"/>
        <w:ind w:left="560" w:hanging="560" w:hangingChars="200"/>
        <w:jc w:val="left"/>
        <w:rPr>
          <w:rFonts w:ascii="宋体" w:hAnsi="宋体" w:cs="宋体"/>
          <w:sz w:val="28"/>
          <w:szCs w:val="36"/>
        </w:rPr>
      </w:pPr>
      <w:r>
        <w:rPr>
          <w:rFonts w:hint="eastAsia" w:ascii="宋体" w:hAnsi="宋体" w:cs="宋体"/>
          <w:sz w:val="28"/>
          <w:szCs w:val="36"/>
        </w:rPr>
        <w:t xml:space="preserve"> </w:t>
      </w:r>
      <w:r>
        <w:rPr>
          <w:rFonts w:hint="default" w:ascii="宋体" w:hAnsi="宋体" w:cs="宋体"/>
          <w:sz w:val="28"/>
          <w:szCs w:val="36"/>
          <w:lang w:val="en-US"/>
        </w:rPr>
        <w:t xml:space="preserve"> </w:t>
      </w:r>
      <w:r>
        <w:rPr>
          <w:rFonts w:hint="eastAsia" w:ascii="宋体" w:hAnsi="宋体" w:cs="宋体"/>
          <w:sz w:val="28"/>
          <w:szCs w:val="36"/>
        </w:rPr>
        <w:t xml:space="preserve">  3.一名专业技术人员业余时间审核修复技术工艺及解析修复工程过程技术难点。</w:t>
      </w:r>
    </w:p>
    <w:p>
      <w:pPr>
        <w:spacing w:line="240" w:lineRule="atLeast"/>
        <w:ind w:left="560" w:hanging="560" w:hangingChars="200"/>
        <w:jc w:val="left"/>
        <w:rPr>
          <w:rFonts w:ascii="宋体" w:hAnsi="宋体" w:cs="宋体"/>
          <w:sz w:val="28"/>
          <w:szCs w:val="36"/>
        </w:rPr>
      </w:pPr>
      <w:r>
        <w:rPr>
          <w:rFonts w:hint="eastAsia" w:ascii="宋体" w:hAnsi="宋体" w:cs="宋体"/>
          <w:sz w:val="28"/>
          <w:szCs w:val="36"/>
        </w:rPr>
        <w:t>奖励措施：</w:t>
      </w:r>
    </w:p>
    <w:p>
      <w:pPr>
        <w:spacing w:line="240" w:lineRule="atLeast"/>
        <w:ind w:left="560"/>
        <w:jc w:val="left"/>
        <w:rPr>
          <w:rFonts w:ascii="宋体" w:hAnsi="宋体" w:cs="宋体"/>
          <w:sz w:val="28"/>
          <w:szCs w:val="36"/>
        </w:rPr>
      </w:pPr>
      <w:r>
        <w:rPr>
          <w:rFonts w:ascii="宋体" w:hAnsi="宋体" w:cs="宋体"/>
          <w:sz w:val="28"/>
          <w:szCs w:val="36"/>
        </w:rPr>
        <w:t>参编单位</w:t>
      </w:r>
      <w:r>
        <w:rPr>
          <w:rFonts w:hint="eastAsia" w:ascii="宋体" w:hAnsi="宋体" w:cs="宋体"/>
          <w:sz w:val="28"/>
          <w:szCs w:val="36"/>
        </w:rPr>
        <w:t>：</w:t>
      </w:r>
    </w:p>
    <w:p>
      <w:pPr>
        <w:spacing w:line="240" w:lineRule="atLeast"/>
        <w:ind w:left="560"/>
        <w:jc w:val="left"/>
        <w:rPr>
          <w:rFonts w:ascii="宋体" w:hAnsi="宋体" w:cs="宋体"/>
          <w:sz w:val="28"/>
          <w:szCs w:val="36"/>
        </w:rPr>
      </w:pPr>
      <w:r>
        <w:rPr>
          <w:rFonts w:hint="eastAsia" w:ascii="宋体" w:hAnsi="宋体" w:cs="宋体"/>
          <w:sz w:val="28"/>
          <w:szCs w:val="36"/>
        </w:rPr>
        <w:t>1.作为本指南参与单位，享有署名权</w:t>
      </w:r>
    </w:p>
    <w:p>
      <w:pPr>
        <w:spacing w:line="240" w:lineRule="atLeast"/>
        <w:ind w:left="560"/>
        <w:jc w:val="left"/>
        <w:rPr>
          <w:rFonts w:ascii="宋体" w:hAnsi="宋体" w:cs="宋体"/>
          <w:sz w:val="28"/>
          <w:szCs w:val="36"/>
        </w:rPr>
      </w:pPr>
      <w:r>
        <w:rPr>
          <w:rFonts w:hint="eastAsia" w:ascii="宋体" w:hAnsi="宋体" w:cs="宋体"/>
          <w:sz w:val="28"/>
          <w:szCs w:val="36"/>
        </w:rPr>
        <w:t>2.赠送10本书及二套软件</w:t>
      </w:r>
    </w:p>
    <w:p>
      <w:pPr>
        <w:spacing w:line="240" w:lineRule="atLeast"/>
        <w:ind w:left="560"/>
        <w:jc w:val="left"/>
        <w:rPr>
          <w:rFonts w:ascii="宋体" w:hAnsi="宋体" w:cs="宋体"/>
          <w:sz w:val="28"/>
          <w:szCs w:val="36"/>
        </w:rPr>
      </w:pPr>
      <w:r>
        <w:rPr>
          <w:rFonts w:hint="eastAsia" w:ascii="宋体" w:hAnsi="宋体" w:cs="宋体"/>
          <w:sz w:val="28"/>
          <w:szCs w:val="36"/>
        </w:rPr>
        <w:t>案例提供单位：</w:t>
      </w:r>
    </w:p>
    <w:p>
      <w:pPr>
        <w:spacing w:line="240" w:lineRule="atLeast"/>
        <w:ind w:firstLineChars="200"/>
        <w:jc w:val="left"/>
        <w:rPr>
          <w:rFonts w:ascii="宋体" w:hAnsi="宋体" w:cs="宋体"/>
          <w:sz w:val="28"/>
          <w:szCs w:val="36"/>
        </w:rPr>
      </w:pPr>
      <w:r>
        <w:rPr>
          <w:rFonts w:hint="eastAsia" w:ascii="宋体" w:hAnsi="宋体" w:cs="宋体"/>
          <w:sz w:val="28"/>
          <w:szCs w:val="36"/>
        </w:rPr>
        <w:t>获赠一本书及配套造价软件！</w:t>
      </w:r>
    </w:p>
    <w:p>
      <w:pPr>
        <w:spacing w:line="240" w:lineRule="atLeast"/>
        <w:ind w:left="560" w:hanging="560" w:hangingChars="200"/>
        <w:jc w:val="left"/>
        <w:rPr>
          <w:rFonts w:ascii="宋体" w:hAnsi="宋体" w:cs="宋体"/>
          <w:sz w:val="28"/>
          <w:szCs w:val="36"/>
        </w:rPr>
      </w:pPr>
    </w:p>
    <w:p>
      <w:pPr>
        <w:spacing w:line="240" w:lineRule="atLeast"/>
        <w:ind w:left="560" w:hanging="562" w:hangingChars="200"/>
        <w:jc w:val="left"/>
        <w:rPr>
          <w:rFonts w:ascii="宋体" w:hAnsi="宋体" w:cs="宋体"/>
          <w:b/>
          <w:bCs/>
          <w:sz w:val="28"/>
          <w:szCs w:val="36"/>
        </w:rPr>
      </w:pPr>
      <w:r>
        <w:rPr>
          <w:rFonts w:ascii="宋体" w:hAnsi="宋体" w:cs="宋体"/>
          <w:b/>
          <w:bCs/>
          <w:sz w:val="28"/>
          <w:szCs w:val="36"/>
        </w:rPr>
        <w:t>三</w:t>
      </w:r>
      <w:r>
        <w:rPr>
          <w:rFonts w:hint="eastAsia" w:ascii="宋体" w:hAnsi="宋体" w:cs="宋体"/>
          <w:b/>
          <w:bCs/>
          <w:sz w:val="28"/>
          <w:szCs w:val="36"/>
        </w:rPr>
        <w:t>、</w:t>
      </w:r>
      <w:r>
        <w:rPr>
          <w:rFonts w:ascii="宋体" w:hAnsi="宋体" w:cs="宋体"/>
          <w:b/>
          <w:bCs/>
          <w:sz w:val="28"/>
          <w:szCs w:val="36"/>
        </w:rPr>
        <w:t>工作计划</w:t>
      </w:r>
    </w:p>
    <w:p>
      <w:pPr>
        <w:spacing w:line="240" w:lineRule="atLeast"/>
        <w:ind w:left="560" w:hanging="560" w:hangingChars="200"/>
        <w:jc w:val="left"/>
        <w:rPr>
          <w:rFonts w:ascii="宋体" w:hAnsi="宋体" w:cs="宋体"/>
          <w:sz w:val="28"/>
          <w:szCs w:val="36"/>
        </w:rPr>
      </w:pPr>
      <w:r>
        <w:rPr>
          <w:rFonts w:hint="eastAsia" w:ascii="宋体" w:hAnsi="宋体" w:cs="宋体"/>
          <w:sz w:val="28"/>
          <w:szCs w:val="36"/>
        </w:rPr>
        <w:t>1.2020年</w:t>
      </w:r>
      <w:r>
        <w:rPr>
          <w:rFonts w:hint="default" w:ascii="宋体" w:hAnsi="宋体" w:cs="宋体"/>
          <w:sz w:val="28"/>
          <w:szCs w:val="36"/>
          <w:lang w:val="en-US"/>
        </w:rPr>
        <w:t>2</w:t>
      </w:r>
      <w:r>
        <w:rPr>
          <w:rFonts w:hint="eastAsia" w:ascii="宋体" w:hAnsi="宋体" w:cs="宋体"/>
          <w:sz w:val="28"/>
          <w:szCs w:val="36"/>
        </w:rPr>
        <w:t>月内完成案例收集；</w:t>
      </w:r>
    </w:p>
    <w:p>
      <w:pPr>
        <w:spacing w:line="240" w:lineRule="atLeast"/>
        <w:ind w:left="560" w:hanging="560" w:hangingChars="200"/>
        <w:jc w:val="left"/>
        <w:rPr>
          <w:rFonts w:ascii="宋体" w:hAnsi="宋体" w:cs="宋体"/>
          <w:sz w:val="28"/>
          <w:szCs w:val="36"/>
        </w:rPr>
      </w:pPr>
      <w:r>
        <w:rPr>
          <w:rFonts w:hint="eastAsia" w:ascii="宋体" w:hAnsi="宋体" w:cs="宋体"/>
          <w:sz w:val="28"/>
          <w:szCs w:val="36"/>
        </w:rPr>
        <w:t>2.2020年3月</w:t>
      </w:r>
      <w:r>
        <w:rPr>
          <w:rFonts w:hint="eastAsia" w:ascii="宋体" w:hAnsi="宋体" w:cs="宋体"/>
          <w:sz w:val="28"/>
          <w:szCs w:val="36"/>
          <w:lang w:eastAsia="zh-CN"/>
        </w:rPr>
        <w:t>底</w:t>
      </w:r>
      <w:r>
        <w:rPr>
          <w:rFonts w:hint="eastAsia" w:ascii="宋体" w:hAnsi="宋体" w:cs="宋体"/>
          <w:sz w:val="28"/>
          <w:szCs w:val="36"/>
        </w:rPr>
        <w:t>完成编写工作及专家评审会</w:t>
      </w:r>
    </w:p>
    <w:p>
      <w:pPr>
        <w:spacing w:line="240" w:lineRule="atLeast"/>
        <w:ind w:left="560" w:hanging="560" w:hangingChars="200"/>
        <w:jc w:val="left"/>
        <w:rPr>
          <w:rFonts w:ascii="宋体" w:hAnsi="宋体" w:cs="宋体"/>
          <w:sz w:val="28"/>
          <w:szCs w:val="36"/>
        </w:rPr>
      </w:pPr>
      <w:r>
        <w:rPr>
          <w:rFonts w:hint="eastAsia" w:ascii="宋体" w:hAnsi="宋体" w:cs="宋体"/>
          <w:sz w:val="28"/>
          <w:szCs w:val="36"/>
        </w:rPr>
        <w:t>3.2020年4月完成软件开发及专家评审会</w:t>
      </w:r>
    </w:p>
    <w:p>
      <w:pPr>
        <w:spacing w:line="240" w:lineRule="atLeast"/>
        <w:ind w:left="560" w:hanging="560" w:hangingChars="200"/>
        <w:jc w:val="left"/>
        <w:rPr>
          <w:rFonts w:ascii="宋体" w:hAnsi="宋体" w:cs="宋体"/>
          <w:sz w:val="28"/>
          <w:szCs w:val="36"/>
        </w:rPr>
      </w:pPr>
      <w:r>
        <w:rPr>
          <w:rFonts w:hint="eastAsia" w:ascii="宋体" w:hAnsi="宋体" w:cs="宋体"/>
          <w:sz w:val="28"/>
          <w:szCs w:val="36"/>
        </w:rPr>
        <w:t>4.2020年5月完成印刷2000本，公开发行。</w:t>
      </w:r>
    </w:p>
    <w:p>
      <w:pPr>
        <w:spacing w:line="240" w:lineRule="atLeast"/>
        <w:ind w:left="560" w:hanging="560" w:hangingChars="200"/>
        <w:jc w:val="left"/>
        <w:rPr>
          <w:rFonts w:ascii="宋体" w:hAnsi="宋体" w:cs="宋体"/>
          <w:sz w:val="28"/>
          <w:szCs w:val="36"/>
        </w:rPr>
      </w:pPr>
      <w:r>
        <w:rPr>
          <w:rFonts w:hint="eastAsia" w:ascii="宋体" w:hAnsi="宋体" w:cs="宋体"/>
          <w:sz w:val="28"/>
          <w:szCs w:val="36"/>
        </w:rPr>
        <w:t>5.发行时间：2020年6月</w:t>
      </w:r>
    </w:p>
    <w:p>
      <w:pPr>
        <w:spacing w:line="240" w:lineRule="atLeast"/>
        <w:ind w:left="560" w:hanging="560" w:hangingChars="200"/>
        <w:jc w:val="left"/>
        <w:rPr>
          <w:rFonts w:hint="eastAsia" w:ascii="宋体" w:hAnsi="宋体" w:cs="宋体"/>
          <w:sz w:val="28"/>
          <w:szCs w:val="36"/>
        </w:rPr>
      </w:pPr>
    </w:p>
    <w:p>
      <w:pPr>
        <w:spacing w:line="240" w:lineRule="atLeast"/>
        <w:ind w:left="560" w:hanging="560" w:hangingChars="200"/>
        <w:jc w:val="left"/>
        <w:rPr>
          <w:rFonts w:ascii="宋体" w:hAnsi="宋体" w:cs="宋体"/>
          <w:sz w:val="28"/>
          <w:szCs w:val="36"/>
        </w:rPr>
      </w:pPr>
      <w:r>
        <w:rPr>
          <w:rFonts w:hint="eastAsia" w:ascii="宋体" w:hAnsi="宋体" w:cs="宋体"/>
          <w:sz w:val="28"/>
          <w:szCs w:val="36"/>
        </w:rPr>
        <w:t>请各单位大力支持！谢谢合作！</w:t>
      </w:r>
    </w:p>
    <w:p>
      <w:pPr>
        <w:spacing w:line="240" w:lineRule="atLeast"/>
        <w:jc w:val="left"/>
        <w:rPr>
          <w:rFonts w:ascii="宋体" w:hAnsi="宋体" w:cs="宋体"/>
          <w:sz w:val="28"/>
          <w:szCs w:val="36"/>
        </w:rPr>
      </w:pPr>
    </w:p>
    <w:p>
      <w:pPr>
        <w:spacing w:line="240" w:lineRule="atLeast"/>
        <w:jc w:val="left"/>
        <w:rPr>
          <w:rFonts w:ascii="宋体" w:hAnsi="宋体" w:cs="宋体"/>
          <w:sz w:val="32"/>
          <w:szCs w:val="40"/>
        </w:rPr>
      </w:pPr>
      <w:r>
        <w:rPr>
          <w:rFonts w:hint="eastAsia" w:ascii="宋体" w:hAnsi="宋体" w:cs="宋体"/>
          <w:sz w:val="32"/>
          <w:szCs w:val="40"/>
        </w:rPr>
        <w:t>专此函请！</w:t>
      </w:r>
    </w:p>
    <w:p>
      <w:pPr>
        <w:spacing w:line="240" w:lineRule="atLeast"/>
        <w:jc w:val="left"/>
        <w:rPr>
          <w:sz w:val="32"/>
          <w:szCs w:val="40"/>
        </w:rPr>
      </w:pPr>
    </w:p>
    <w:p>
      <w:pPr>
        <w:spacing w:line="240" w:lineRule="atLeast"/>
        <w:jc w:val="left"/>
        <w:rPr>
          <w:sz w:val="32"/>
          <w:szCs w:val="40"/>
        </w:rPr>
      </w:pPr>
      <w:r>
        <w:rPr>
          <w:rFonts w:hint="eastAsia"/>
          <w:sz w:val="32"/>
          <w:szCs w:val="40"/>
          <w:lang w:eastAsia="zh-CN"/>
        </w:rPr>
        <w:t>中关村众信土壤修复产业技术创新联盟（土盟）</w:t>
      </w:r>
    </w:p>
    <w:p>
      <w:pPr>
        <w:spacing w:line="240" w:lineRule="atLeast"/>
        <w:jc w:val="left"/>
      </w:pPr>
      <w:r>
        <w:rPr>
          <w:rFonts w:hint="eastAsia"/>
          <w:sz w:val="32"/>
          <w:szCs w:val="40"/>
        </w:rPr>
        <w:t>联系人：</w:t>
      </w:r>
      <w:r>
        <w:rPr>
          <w:rFonts w:hint="eastAsia"/>
          <w:sz w:val="32"/>
          <w:szCs w:val="40"/>
          <w:lang w:eastAsia="zh-CN"/>
        </w:rPr>
        <w:t>高老师</w:t>
      </w:r>
      <w:r>
        <w:rPr>
          <w:rFonts w:hint="eastAsia"/>
          <w:sz w:val="32"/>
          <w:szCs w:val="40"/>
        </w:rPr>
        <w:t>（1</w:t>
      </w:r>
      <w:r>
        <w:rPr>
          <w:rFonts w:hint="default"/>
          <w:sz w:val="32"/>
          <w:szCs w:val="40"/>
          <w:lang w:val="en-US"/>
        </w:rPr>
        <w:t>8910796692</w:t>
      </w:r>
      <w:r>
        <w:rPr>
          <w:rFonts w:hint="eastAsia"/>
          <w:sz w:val="32"/>
          <w:szCs w:val="40"/>
        </w:rPr>
        <w:t>） 邮箱：</w:t>
      </w:r>
      <w:r>
        <w:fldChar w:fldCharType="begin"/>
      </w:r>
      <w:r>
        <w:instrText xml:space="preserve"> HYPERLINK "mailto:1004073166@qq.com" </w:instrText>
      </w:r>
      <w:r>
        <w:fldChar w:fldCharType="separate"/>
      </w:r>
      <w:r>
        <w:rPr>
          <w:lang w:val="en-US"/>
        </w:rPr>
        <w:t>364815803</w:t>
      </w:r>
      <w:r>
        <w:rPr>
          <w:rStyle w:val="4"/>
          <w:rFonts w:hint="eastAsia"/>
          <w:sz w:val="32"/>
          <w:szCs w:val="40"/>
        </w:rPr>
        <w:t>@qq.com</w:t>
      </w:r>
      <w:r>
        <w:fldChar w:fldCharType="end"/>
      </w:r>
    </w:p>
    <w:p>
      <w:pPr>
        <w:spacing w:line="240" w:lineRule="atLeast"/>
        <w:jc w:val="left"/>
        <w:rPr>
          <w:sz w:val="32"/>
          <w:szCs w:val="40"/>
        </w:rPr>
      </w:pPr>
      <w:r>
        <w:rPr>
          <w:sz w:val="32"/>
          <w:szCs w:val="40"/>
          <w:lang w:val="en-US"/>
        </w:rPr>
        <w:t xml:space="preserve">        </w:t>
      </w:r>
      <w:r>
        <w:rPr>
          <w:rFonts w:hint="eastAsia"/>
          <w:sz w:val="32"/>
          <w:szCs w:val="40"/>
          <w:lang w:val="en-US" w:eastAsia="zh-CN"/>
        </w:rPr>
        <w:t>翟老师（</w:t>
      </w:r>
      <w:r>
        <w:rPr>
          <w:rFonts w:hint="default"/>
          <w:sz w:val="32"/>
          <w:szCs w:val="40"/>
          <w:lang w:val="en-US" w:eastAsia="zh-CN"/>
        </w:rPr>
        <w:t>17777824665</w:t>
      </w:r>
      <w:r>
        <w:rPr>
          <w:rFonts w:hint="eastAsia"/>
          <w:sz w:val="32"/>
          <w:szCs w:val="40"/>
          <w:lang w:val="en-US" w:eastAsia="zh-CN"/>
        </w:rPr>
        <w:t>）</w:t>
      </w:r>
    </w:p>
    <w:p>
      <w:pPr>
        <w:spacing w:line="240" w:lineRule="atLeast"/>
        <w:jc w:val="left"/>
        <w:rPr>
          <w:sz w:val="32"/>
          <w:szCs w:val="40"/>
        </w:rPr>
      </w:pPr>
      <w:r>
        <w:rPr>
          <w:rFonts w:hint="eastAsia"/>
          <w:sz w:val="32"/>
          <w:szCs w:val="40"/>
        </w:rPr>
        <w:t>日期：2020年</w:t>
      </w:r>
      <w:r>
        <w:rPr>
          <w:rFonts w:hint="default"/>
          <w:sz w:val="32"/>
          <w:szCs w:val="40"/>
          <w:lang w:val="en-US"/>
        </w:rPr>
        <w:t>2</w:t>
      </w:r>
      <w:r>
        <w:rPr>
          <w:rFonts w:hint="eastAsia"/>
          <w:sz w:val="32"/>
          <w:szCs w:val="40"/>
        </w:rPr>
        <w:t>月</w:t>
      </w:r>
      <w:r>
        <w:rPr>
          <w:rFonts w:hint="default"/>
          <w:sz w:val="32"/>
          <w:szCs w:val="40"/>
          <w:lang w:val="en-US"/>
        </w:rPr>
        <w:t>2</w:t>
      </w:r>
      <w:r>
        <w:rPr>
          <w:rFonts w:hint="eastAsia"/>
          <w:sz w:val="32"/>
          <w:szCs w:val="40"/>
        </w:rPr>
        <w:t>日</w:t>
      </w: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p>
      <w:pPr>
        <w:spacing w:line="240" w:lineRule="atLeast"/>
        <w:jc w:val="left"/>
        <w:rPr>
          <w:sz w:val="32"/>
          <w:szCs w:val="40"/>
        </w:rPr>
      </w:pPr>
    </w:p>
    <w:tbl>
      <w:tblPr>
        <w:tblStyle w:val="2"/>
        <w:tblpPr w:leftFromText="180" w:rightFromText="180" w:vertAnchor="text" w:horzAnchor="page" w:tblpX="713" w:tblpY="488"/>
        <w:tblOverlap w:val="never"/>
        <w:tblW w:w="9662" w:type="dxa"/>
        <w:tblInd w:w="0" w:type="dxa"/>
        <w:tblLayout w:type="autofit"/>
        <w:tblCellMar>
          <w:top w:w="0" w:type="dxa"/>
          <w:left w:w="0" w:type="dxa"/>
          <w:bottom w:w="0" w:type="dxa"/>
          <w:right w:w="0" w:type="dxa"/>
        </w:tblCellMar>
      </w:tblPr>
      <w:tblGrid>
        <w:gridCol w:w="609"/>
        <w:gridCol w:w="679"/>
        <w:gridCol w:w="709"/>
        <w:gridCol w:w="1134"/>
        <w:gridCol w:w="1134"/>
        <w:gridCol w:w="1417"/>
        <w:gridCol w:w="1843"/>
        <w:gridCol w:w="2137"/>
      </w:tblGrid>
      <w:tr>
        <w:tblPrEx>
          <w:tblCellMar>
            <w:top w:w="0" w:type="dxa"/>
            <w:left w:w="0" w:type="dxa"/>
            <w:bottom w:w="0" w:type="dxa"/>
            <w:right w:w="0" w:type="dxa"/>
          </w:tblCellMar>
        </w:tblPrEx>
        <w:trPr>
          <w:trHeight w:val="360" w:hRule="atLeast"/>
        </w:trPr>
        <w:tc>
          <w:tcPr>
            <w:tcW w:w="9662" w:type="dxa"/>
            <w:gridSpan w:val="8"/>
            <w:tcBorders>
              <w:top w:val="single" w:color="000000" w:sz="8"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案例登记表</w:t>
            </w:r>
          </w:p>
        </w:tc>
      </w:tr>
      <w:tr>
        <w:tblPrEx>
          <w:tblCellMar>
            <w:top w:w="0" w:type="dxa"/>
            <w:left w:w="0" w:type="dxa"/>
            <w:bottom w:w="0" w:type="dxa"/>
            <w:right w:w="0" w:type="dxa"/>
          </w:tblCellMar>
        </w:tblPrEx>
        <w:trPr>
          <w:trHeight w:val="288" w:hRule="atLeast"/>
        </w:trPr>
        <w:tc>
          <w:tcPr>
            <w:tcW w:w="60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序号</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案例名称</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污染物特征</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污染土方量</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污染面积</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清挖深度统计</w:t>
            </w:r>
          </w:p>
        </w:tc>
        <w:tc>
          <w:tcPr>
            <w:tcW w:w="1843"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阻隔回填区面积/深度</w:t>
            </w:r>
          </w:p>
        </w:tc>
        <w:tc>
          <w:tcPr>
            <w:tcW w:w="2137" w:type="dxa"/>
            <w:tcBorders>
              <w:top w:val="single" w:color="000000" w:sz="4" w:space="0"/>
              <w:left w:val="single" w:color="000000" w:sz="4" w:space="0"/>
              <w:bottom w:val="single" w:color="000000" w:sz="4" w:space="0"/>
              <w:right w:val="single" w:color="000000" w:sz="8" w:space="0"/>
            </w:tcBorders>
          </w:tcPr>
          <w:p>
            <w:pPr>
              <w:widowControl/>
              <w:jc w:val="center"/>
              <w:textAlignment w:val="center"/>
              <w:rPr>
                <w:rFonts w:ascii="宋体" w:hAnsi="宋体" w:eastAsia="宋体" w:cs="宋体"/>
                <w:color w:val="000000"/>
                <w:kern w:val="0"/>
                <w:sz w:val="22"/>
                <w:szCs w:val="22"/>
              </w:rPr>
            </w:pP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二次污染防治措施费</w:t>
            </w:r>
          </w:p>
        </w:tc>
      </w:tr>
      <w:tr>
        <w:tblPrEx>
          <w:tblCellMar>
            <w:top w:w="0" w:type="dxa"/>
            <w:left w:w="0" w:type="dxa"/>
            <w:bottom w:w="0" w:type="dxa"/>
            <w:right w:w="0" w:type="dxa"/>
          </w:tblCellMar>
        </w:tblPrEx>
        <w:trPr>
          <w:trHeight w:val="288" w:hRule="atLeast"/>
        </w:trPr>
        <w:tc>
          <w:tcPr>
            <w:tcW w:w="60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2137" w:type="dxa"/>
            <w:tcBorders>
              <w:top w:val="single" w:color="000000" w:sz="4" w:space="0"/>
              <w:left w:val="single" w:color="000000" w:sz="4" w:space="0"/>
              <w:bottom w:val="single" w:color="000000" w:sz="4" w:space="0"/>
              <w:right w:val="single" w:color="000000" w:sz="8" w:space="0"/>
            </w:tcBorders>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288" w:hRule="atLeast"/>
        </w:trPr>
        <w:tc>
          <w:tcPr>
            <w:tcW w:w="60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2137" w:type="dxa"/>
            <w:tcBorders>
              <w:top w:val="single" w:color="000000" w:sz="4" w:space="0"/>
              <w:left w:val="single" w:color="000000" w:sz="4" w:space="0"/>
              <w:bottom w:val="single" w:color="000000" w:sz="4" w:space="0"/>
              <w:right w:val="single" w:color="000000" w:sz="8" w:space="0"/>
            </w:tcBorders>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288" w:hRule="atLeast"/>
        </w:trPr>
        <w:tc>
          <w:tcPr>
            <w:tcW w:w="60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2137" w:type="dxa"/>
            <w:tcBorders>
              <w:top w:val="single" w:color="000000" w:sz="4" w:space="0"/>
              <w:left w:val="single" w:color="000000" w:sz="4" w:space="0"/>
              <w:bottom w:val="single" w:color="000000" w:sz="4" w:space="0"/>
              <w:right w:val="single" w:color="000000" w:sz="8" w:space="0"/>
            </w:tcBorders>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288" w:hRule="atLeast"/>
        </w:trPr>
        <w:tc>
          <w:tcPr>
            <w:tcW w:w="60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2137" w:type="dxa"/>
            <w:tcBorders>
              <w:top w:val="single" w:color="000000" w:sz="4" w:space="0"/>
              <w:left w:val="single" w:color="000000" w:sz="4" w:space="0"/>
              <w:bottom w:val="single" w:color="000000" w:sz="4" w:space="0"/>
              <w:right w:val="single" w:color="000000" w:sz="8" w:space="0"/>
            </w:tcBorders>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288" w:hRule="atLeast"/>
        </w:trPr>
        <w:tc>
          <w:tcPr>
            <w:tcW w:w="60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2137" w:type="dxa"/>
            <w:tcBorders>
              <w:top w:val="single" w:color="000000" w:sz="4" w:space="0"/>
              <w:left w:val="single" w:color="000000" w:sz="4" w:space="0"/>
              <w:bottom w:val="single" w:color="000000" w:sz="4" w:space="0"/>
              <w:right w:val="single" w:color="000000" w:sz="8" w:space="0"/>
            </w:tcBorders>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288" w:hRule="atLeast"/>
        </w:trPr>
        <w:tc>
          <w:tcPr>
            <w:tcW w:w="60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2137" w:type="dxa"/>
            <w:tcBorders>
              <w:top w:val="single" w:color="000000" w:sz="4" w:space="0"/>
              <w:left w:val="single" w:color="000000" w:sz="4" w:space="0"/>
              <w:bottom w:val="single" w:color="000000" w:sz="4" w:space="0"/>
              <w:right w:val="single" w:color="000000" w:sz="8" w:space="0"/>
            </w:tcBorders>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288" w:hRule="atLeast"/>
        </w:trPr>
        <w:tc>
          <w:tcPr>
            <w:tcW w:w="609" w:type="dxa"/>
            <w:tcBorders>
              <w:top w:val="single" w:color="000000" w:sz="4" w:space="0"/>
              <w:left w:val="single" w:color="000000" w:sz="8"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843" w:type="dxa"/>
            <w:tcBorders>
              <w:top w:val="single" w:color="000000" w:sz="4" w:space="0"/>
              <w:left w:val="single" w:color="000000" w:sz="4" w:space="0"/>
              <w:bottom w:val="single" w:color="000000" w:sz="4"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2137" w:type="dxa"/>
            <w:tcBorders>
              <w:top w:val="single" w:color="000000" w:sz="4" w:space="0"/>
              <w:left w:val="single" w:color="000000" w:sz="4" w:space="0"/>
              <w:bottom w:val="single" w:color="000000" w:sz="4" w:space="0"/>
              <w:right w:val="single" w:color="000000" w:sz="8" w:space="0"/>
            </w:tcBorders>
          </w:tcPr>
          <w:p>
            <w:pPr>
              <w:rPr>
                <w:rFonts w:ascii="宋体" w:hAnsi="宋体" w:eastAsia="宋体" w:cs="宋体"/>
                <w:color w:val="000000"/>
                <w:sz w:val="22"/>
                <w:szCs w:val="22"/>
              </w:rPr>
            </w:pPr>
          </w:p>
        </w:tc>
      </w:tr>
      <w:tr>
        <w:tblPrEx>
          <w:tblCellMar>
            <w:top w:w="0" w:type="dxa"/>
            <w:left w:w="0" w:type="dxa"/>
            <w:bottom w:w="0" w:type="dxa"/>
            <w:right w:w="0" w:type="dxa"/>
          </w:tblCellMar>
        </w:tblPrEx>
        <w:trPr>
          <w:trHeight w:val="303" w:hRule="atLeast"/>
        </w:trPr>
        <w:tc>
          <w:tcPr>
            <w:tcW w:w="609" w:type="dxa"/>
            <w:tcBorders>
              <w:top w:val="single" w:color="000000" w:sz="4" w:space="0"/>
              <w:left w:val="single" w:color="000000" w:sz="8" w:space="0"/>
              <w:bottom w:val="single" w:color="000000" w:sz="8"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679"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709"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134"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417" w:type="dxa"/>
            <w:tcBorders>
              <w:top w:val="single" w:color="000000" w:sz="4" w:space="0"/>
              <w:left w:val="single" w:color="000000" w:sz="4" w:space="0"/>
              <w:bottom w:val="single" w:color="000000" w:sz="8" w:space="0"/>
              <w:right w:val="single" w:color="000000" w:sz="4"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1843" w:type="dxa"/>
            <w:tcBorders>
              <w:top w:val="single" w:color="000000" w:sz="4" w:space="0"/>
              <w:left w:val="single" w:color="000000" w:sz="4" w:space="0"/>
              <w:bottom w:val="single" w:color="000000" w:sz="8" w:space="0"/>
              <w:right w:val="single" w:color="000000" w:sz="8" w:space="0"/>
            </w:tcBorders>
            <w:shd w:val="clear" w:color="auto" w:fill="auto"/>
            <w:noWrap/>
            <w:tcMar>
              <w:top w:w="12" w:type="dxa"/>
              <w:left w:w="12" w:type="dxa"/>
              <w:right w:w="12" w:type="dxa"/>
            </w:tcMar>
            <w:vAlign w:val="center"/>
          </w:tcPr>
          <w:p>
            <w:pPr>
              <w:rPr>
                <w:rFonts w:ascii="宋体" w:hAnsi="宋体" w:eastAsia="宋体" w:cs="宋体"/>
                <w:color w:val="000000"/>
                <w:sz w:val="22"/>
                <w:szCs w:val="22"/>
              </w:rPr>
            </w:pPr>
          </w:p>
        </w:tc>
        <w:tc>
          <w:tcPr>
            <w:tcW w:w="2137" w:type="dxa"/>
            <w:tcBorders>
              <w:top w:val="single" w:color="000000" w:sz="4" w:space="0"/>
              <w:left w:val="single" w:color="000000" w:sz="4" w:space="0"/>
              <w:bottom w:val="single" w:color="000000" w:sz="8" w:space="0"/>
              <w:right w:val="single" w:color="000000" w:sz="8" w:space="0"/>
            </w:tcBorders>
          </w:tcPr>
          <w:p>
            <w:pPr>
              <w:rPr>
                <w:rFonts w:ascii="宋体" w:hAnsi="宋体" w:eastAsia="宋体" w:cs="宋体"/>
                <w:color w:val="000000"/>
                <w:sz w:val="22"/>
                <w:szCs w:val="22"/>
              </w:rPr>
            </w:pPr>
          </w:p>
        </w:tc>
      </w:tr>
    </w:tbl>
    <w:p>
      <w:pPr>
        <w:jc w:val="left"/>
        <w:rPr>
          <w:sz w:val="32"/>
          <w:szCs w:val="40"/>
        </w:rPr>
      </w:pPr>
    </w:p>
    <w:p>
      <w:pPr>
        <w:jc w:val="left"/>
        <w:rPr>
          <w:sz w:val="32"/>
          <w:szCs w:val="40"/>
        </w:rPr>
      </w:pPr>
      <w:r>
        <w:rPr>
          <w:rFonts w:hint="eastAsia"/>
          <w:sz w:val="32"/>
          <w:szCs w:val="40"/>
        </w:rPr>
        <w:t>案例提供单位：</w:t>
      </w:r>
    </w:p>
    <w:p>
      <w:pPr>
        <w:jc w:val="left"/>
        <w:rPr>
          <w:sz w:val="32"/>
          <w:szCs w:val="40"/>
        </w:rPr>
      </w:pPr>
      <w:r>
        <w:rPr>
          <w:rFonts w:hint="eastAsia"/>
          <w:sz w:val="32"/>
          <w:szCs w:val="40"/>
        </w:rPr>
        <w:t>联系人：</w:t>
      </w:r>
    </w:p>
    <w:p>
      <w:pPr>
        <w:jc w:val="left"/>
        <w:rPr>
          <w:sz w:val="32"/>
          <w:szCs w:val="40"/>
        </w:rPr>
      </w:pPr>
      <w:r>
        <w:rPr>
          <w:rFonts w:hint="eastAsia"/>
          <w:sz w:val="32"/>
          <w:szCs w:val="40"/>
        </w:rPr>
        <w:t>联系电话及邮箱：</w:t>
      </w:r>
    </w:p>
    <w:p>
      <w:pPr>
        <w:jc w:val="left"/>
        <w:rPr>
          <w:sz w:val="32"/>
          <w:szCs w:val="40"/>
        </w:rPr>
      </w:pPr>
      <w:r>
        <w:rPr>
          <w:rFonts w:hint="eastAsia"/>
          <w:sz w:val="32"/>
          <w:szCs w:val="40"/>
        </w:rPr>
        <w:t>联系地址：</w:t>
      </w:r>
    </w:p>
    <w:p>
      <w:pPr>
        <w:jc w:val="left"/>
        <w:rPr>
          <w:sz w:val="32"/>
          <w:szCs w:val="40"/>
        </w:rPr>
      </w:pPr>
      <w:r>
        <w:rPr>
          <w:rFonts w:hint="eastAsia"/>
          <w:sz w:val="32"/>
          <w:szCs w:val="40"/>
        </w:rPr>
        <w:t>邮编：</w:t>
      </w:r>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EC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1"/>
  </w:style>
  <w:style w:type="table" w:default="1" w:styleId="2">
    <w:name w:val="Normal Table"/>
    <w:qFormat/>
    <w:uiPriority w:val="99"/>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922</Words>
  <Characters>1013</Characters>
  <Paragraphs>147</Paragraphs>
  <TotalTime>64</TotalTime>
  <ScaleCrop>false</ScaleCrop>
  <LinksUpToDate>false</LinksUpToDate>
  <CharactersWithSpaces>1034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2020-01-02T01:18:00Z</dcterms:created>
  <dc:creator>y</dc:creator>
  <cp:lastModifiedBy>lenovo</cp:lastModifiedBy>
  <dcterms:modified xsi:type="dcterms:W3CDTF">2020-02-05T06:50:38Z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